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0BDF9">
      <w:pPr>
        <w:jc w:val="center"/>
        <w:rPr>
          <w:rFonts w:ascii="黑体" w:eastAsia="黑体" w:cs="黑体"/>
          <w:color w:val="262626"/>
          <w:sz w:val="40"/>
          <w:szCs w:val="40"/>
        </w:rPr>
      </w:pPr>
      <w:r>
        <w:rPr>
          <w:rFonts w:hint="eastAsia" w:ascii="黑体" w:eastAsia="黑体" w:cs="黑体"/>
          <w:color w:val="262626"/>
          <w:sz w:val="40"/>
          <w:szCs w:val="40"/>
        </w:rPr>
        <w:t>江津区嘉平镇天水村清水口社建筑用砂岩矿采矿权拍卖出让公告</w:t>
      </w:r>
    </w:p>
    <w:p w14:paraId="1AB3E921">
      <w:pPr>
        <w:jc w:val="center"/>
        <w:rPr>
          <w:rFonts w:hint="eastAsia" w:ascii="方正黑体_GBK" w:hAnsi="方正黑体_GBK" w:eastAsia="方正黑体_GBK" w:cs="方正黑体_GBK"/>
          <w:bCs/>
          <w:color w:val="262626"/>
          <w:sz w:val="30"/>
          <w:szCs w:val="30"/>
        </w:rPr>
      </w:pPr>
      <w:r>
        <w:rPr>
          <w:rFonts w:hint="eastAsia" w:ascii="方正黑体_GBK" w:hAnsi="方正黑体_GBK" w:eastAsia="方正黑体_GBK" w:cs="方正黑体_GBK"/>
          <w:bCs/>
          <w:color w:val="262626"/>
          <w:sz w:val="30"/>
          <w:szCs w:val="30"/>
        </w:rPr>
        <w:t>渝矿采出字〔202</w:t>
      </w:r>
      <w:r>
        <w:rPr>
          <w:rFonts w:hint="eastAsia" w:ascii="方正黑体_GBK" w:hAnsi="方正黑体_GBK" w:eastAsia="方正黑体_GBK" w:cs="方正黑体_GBK"/>
          <w:bCs/>
          <w:color w:val="262626"/>
          <w:sz w:val="30"/>
          <w:szCs w:val="30"/>
          <w:lang w:val="en-US" w:eastAsia="zh-CN"/>
        </w:rPr>
        <w:t>5</w:t>
      </w:r>
      <w:r>
        <w:rPr>
          <w:rFonts w:hint="eastAsia" w:ascii="方正黑体_GBK" w:hAnsi="方正黑体_GBK" w:eastAsia="方正黑体_GBK" w:cs="方正黑体_GBK"/>
          <w:bCs/>
          <w:color w:val="262626"/>
          <w:sz w:val="30"/>
          <w:szCs w:val="30"/>
        </w:rPr>
        <w:t>〕（江津）3号</w:t>
      </w:r>
    </w:p>
    <w:p w14:paraId="1ADBA35C">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根据国家和重庆市的相关规定，重庆市江津区规划和自然资源局决定公开拍卖出让以下采矿权，并委托重庆市公共资源交易中心负责公开出让交易环节的组织实施。现将有关事项公告如下：</w:t>
      </w:r>
      <w:bookmarkStart w:id="2" w:name="_GoBack"/>
      <w:bookmarkEnd w:id="2"/>
    </w:p>
    <w:p w14:paraId="1D842D6E">
      <w:pPr>
        <w:spacing w:line="400" w:lineRule="exact"/>
        <w:ind w:firstLine="440" w:firstLineChars="200"/>
        <w:rPr>
          <w:rFonts w:ascii="宋体" w:eastAsia="宋体" w:cs="宋体"/>
          <w:b/>
          <w:color w:val="262626"/>
          <w:sz w:val="22"/>
          <w:szCs w:val="22"/>
        </w:rPr>
      </w:pPr>
      <w:r>
        <w:rPr>
          <w:rFonts w:hint="eastAsia" w:ascii="宋体" w:eastAsia="宋体" w:cs="宋体"/>
          <w:color w:val="262626"/>
          <w:sz w:val="22"/>
          <w:szCs w:val="22"/>
        </w:rPr>
        <w:t>本次公开出让的采矿权采用网上交易方式。本次公告同步发布的网站：中华人民共和国自然资源部</w:t>
      </w:r>
      <w:r>
        <w:rPr>
          <w:rFonts w:hint="eastAsia" w:ascii="宋体" w:eastAsia="宋体" w:cs="宋体"/>
          <w:i/>
          <w:color w:val="262626"/>
          <w:sz w:val="22"/>
          <w:szCs w:val="22"/>
        </w:rPr>
        <w:t>（https://www.mnr.gov.cn/）</w:t>
      </w:r>
      <w:r>
        <w:rPr>
          <w:rFonts w:hint="eastAsia" w:ascii="宋体" w:eastAsia="宋体" w:cs="宋体"/>
          <w:color w:val="262626"/>
          <w:sz w:val="22"/>
          <w:szCs w:val="22"/>
        </w:rPr>
        <w:t>、重庆市规划和自然资源局网站</w:t>
      </w:r>
      <w:r>
        <w:rPr>
          <w:rFonts w:hint="eastAsia" w:ascii="宋体" w:eastAsia="宋体" w:cs="宋体"/>
          <w:i/>
          <w:color w:val="262626"/>
          <w:sz w:val="22"/>
          <w:szCs w:val="22"/>
        </w:rPr>
        <w:t>（http://ghzrzyj.cq.gov.cn）</w:t>
      </w:r>
      <w:r>
        <w:rPr>
          <w:rFonts w:hint="eastAsia" w:ascii="宋体" w:eastAsia="宋体" w:cs="宋体"/>
          <w:color w:val="262626"/>
          <w:sz w:val="22"/>
          <w:szCs w:val="22"/>
        </w:rPr>
        <w:t>、重庆市公共资源交易中心网站</w:t>
      </w:r>
      <w:r>
        <w:rPr>
          <w:rFonts w:hint="eastAsia" w:ascii="宋体" w:eastAsia="宋体" w:cs="宋体"/>
          <w:i/>
          <w:color w:val="262626"/>
          <w:sz w:val="22"/>
          <w:szCs w:val="22"/>
        </w:rPr>
        <w:t>（https://www.cqggzy.com/）、</w:t>
      </w:r>
      <w:r>
        <w:rPr>
          <w:rFonts w:hint="eastAsia" w:ascii="宋体" w:eastAsia="宋体" w:cs="宋体"/>
          <w:iCs/>
          <w:color w:val="262626"/>
          <w:sz w:val="22"/>
          <w:szCs w:val="22"/>
        </w:rPr>
        <w:t>重庆市</w:t>
      </w:r>
      <w:r>
        <w:rPr>
          <w:rFonts w:hint="eastAsia" w:ascii="宋体" w:eastAsia="宋体" w:cs="宋体"/>
          <w:color w:val="262626"/>
          <w:sz w:val="22"/>
          <w:szCs w:val="22"/>
        </w:rPr>
        <w:t>江津区人民</w:t>
      </w:r>
      <w:r>
        <w:rPr>
          <w:rFonts w:hint="eastAsia" w:ascii="宋体" w:eastAsia="宋体" w:cs="宋体"/>
          <w:iCs/>
          <w:color w:val="262626"/>
          <w:sz w:val="22"/>
          <w:szCs w:val="22"/>
        </w:rPr>
        <w:t>政府网站</w:t>
      </w:r>
      <w:r>
        <w:rPr>
          <w:rFonts w:hint="eastAsia" w:ascii="宋体" w:eastAsia="宋体" w:cs="宋体"/>
          <w:i/>
          <w:color w:val="262626"/>
          <w:sz w:val="22"/>
          <w:szCs w:val="22"/>
        </w:rPr>
        <w:t>（https://www.jiangjin.gov.cn）</w:t>
      </w:r>
      <w:r>
        <w:rPr>
          <w:rFonts w:hint="eastAsia" w:ascii="宋体" w:eastAsia="宋体" w:cs="宋体"/>
          <w:iCs/>
          <w:color w:val="262626"/>
          <w:sz w:val="22"/>
          <w:szCs w:val="22"/>
        </w:rPr>
        <w:t>。</w:t>
      </w:r>
    </w:p>
    <w:p w14:paraId="4625B747">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一、基本情况</w:t>
      </w:r>
    </w:p>
    <w:tbl>
      <w:tblPr>
        <w:tblStyle w:val="7"/>
        <w:tblW w:w="13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418"/>
        <w:gridCol w:w="1134"/>
        <w:gridCol w:w="992"/>
        <w:gridCol w:w="1290"/>
        <w:gridCol w:w="1120"/>
        <w:gridCol w:w="1134"/>
        <w:gridCol w:w="1160"/>
        <w:gridCol w:w="1108"/>
        <w:gridCol w:w="850"/>
        <w:gridCol w:w="1088"/>
        <w:gridCol w:w="1038"/>
      </w:tblGrid>
      <w:tr w14:paraId="7D8FB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384" w:type="dxa"/>
            <w:vAlign w:val="center"/>
          </w:tcPr>
          <w:p w14:paraId="283E461D">
            <w:pPr>
              <w:spacing w:line="360" w:lineRule="exact"/>
              <w:jc w:val="center"/>
              <w:rPr>
                <w:rFonts w:ascii="宋体" w:eastAsia="宋体" w:cs="宋体"/>
                <w:color w:val="262626"/>
                <w:sz w:val="22"/>
              </w:rPr>
            </w:pPr>
            <w:r>
              <w:rPr>
                <w:rFonts w:hint="eastAsia" w:ascii="宋体" w:eastAsia="宋体" w:cs="宋体"/>
                <w:color w:val="262626"/>
                <w:sz w:val="22"/>
                <w:szCs w:val="22"/>
              </w:rPr>
              <w:t>序号</w:t>
            </w:r>
          </w:p>
        </w:tc>
        <w:tc>
          <w:tcPr>
            <w:tcW w:w="1418" w:type="dxa"/>
            <w:vAlign w:val="center"/>
          </w:tcPr>
          <w:p w14:paraId="04713E5C">
            <w:pPr>
              <w:spacing w:line="360" w:lineRule="exact"/>
              <w:jc w:val="center"/>
              <w:rPr>
                <w:rFonts w:ascii="宋体" w:eastAsia="宋体" w:cs="宋体"/>
                <w:color w:val="262626"/>
                <w:sz w:val="22"/>
              </w:rPr>
            </w:pPr>
            <w:r>
              <w:rPr>
                <w:rFonts w:hint="eastAsia" w:ascii="宋体" w:eastAsia="宋体" w:cs="宋体"/>
                <w:color w:val="262626"/>
                <w:sz w:val="22"/>
                <w:szCs w:val="22"/>
              </w:rPr>
              <w:t>采矿权名称</w:t>
            </w:r>
          </w:p>
          <w:p w14:paraId="31439F8D">
            <w:pPr>
              <w:spacing w:line="360" w:lineRule="exact"/>
              <w:jc w:val="center"/>
              <w:rPr>
                <w:rFonts w:ascii="宋体" w:eastAsia="宋体" w:cs="宋体"/>
                <w:color w:val="262626"/>
                <w:sz w:val="22"/>
              </w:rPr>
            </w:pPr>
            <w:r>
              <w:rPr>
                <w:rFonts w:hint="eastAsia" w:ascii="宋体" w:eastAsia="宋体" w:cs="宋体"/>
                <w:color w:val="262626"/>
                <w:sz w:val="22"/>
                <w:szCs w:val="22"/>
              </w:rPr>
              <w:t>（暂定名）</w:t>
            </w:r>
          </w:p>
        </w:tc>
        <w:tc>
          <w:tcPr>
            <w:tcW w:w="1134" w:type="dxa"/>
            <w:vAlign w:val="center"/>
          </w:tcPr>
          <w:p w14:paraId="34EC6F12">
            <w:pPr>
              <w:spacing w:line="360" w:lineRule="exact"/>
              <w:jc w:val="center"/>
              <w:rPr>
                <w:rFonts w:ascii="宋体" w:eastAsia="宋体" w:cs="宋体"/>
                <w:color w:val="262626"/>
                <w:sz w:val="22"/>
              </w:rPr>
            </w:pPr>
            <w:r>
              <w:rPr>
                <w:rFonts w:hint="eastAsia" w:ascii="宋体" w:eastAsia="宋体" w:cs="宋体"/>
                <w:color w:val="262626"/>
                <w:sz w:val="22"/>
                <w:szCs w:val="22"/>
              </w:rPr>
              <w:t>地理位置</w:t>
            </w:r>
          </w:p>
        </w:tc>
        <w:tc>
          <w:tcPr>
            <w:tcW w:w="992" w:type="dxa"/>
            <w:vAlign w:val="center"/>
          </w:tcPr>
          <w:p w14:paraId="1282489B">
            <w:pPr>
              <w:spacing w:line="360" w:lineRule="exact"/>
              <w:jc w:val="center"/>
              <w:rPr>
                <w:rFonts w:ascii="宋体" w:eastAsia="宋体" w:cs="宋体"/>
                <w:color w:val="262626"/>
                <w:sz w:val="22"/>
              </w:rPr>
            </w:pPr>
            <w:r>
              <w:rPr>
                <w:rFonts w:hint="eastAsia" w:ascii="宋体" w:eastAsia="宋体" w:cs="宋体"/>
                <w:color w:val="262626"/>
                <w:sz w:val="22"/>
                <w:szCs w:val="22"/>
              </w:rPr>
              <w:t>矿种</w:t>
            </w:r>
          </w:p>
        </w:tc>
        <w:tc>
          <w:tcPr>
            <w:tcW w:w="1290" w:type="dxa"/>
            <w:vAlign w:val="center"/>
          </w:tcPr>
          <w:p w14:paraId="64A7FBD3">
            <w:pPr>
              <w:spacing w:line="360" w:lineRule="exact"/>
              <w:jc w:val="center"/>
              <w:rPr>
                <w:rFonts w:ascii="宋体" w:eastAsia="宋体" w:cs="宋体"/>
                <w:color w:val="262626"/>
                <w:sz w:val="22"/>
              </w:rPr>
            </w:pPr>
            <w:r>
              <w:rPr>
                <w:rFonts w:hint="eastAsia" w:ascii="宋体" w:eastAsia="宋体" w:cs="宋体"/>
                <w:color w:val="262626"/>
                <w:sz w:val="22"/>
                <w:szCs w:val="22"/>
              </w:rPr>
              <w:t>矿区范围</w:t>
            </w:r>
          </w:p>
          <w:p w14:paraId="4652C174">
            <w:pPr>
              <w:spacing w:line="360" w:lineRule="exact"/>
              <w:jc w:val="center"/>
              <w:rPr>
                <w:rFonts w:ascii="宋体" w:eastAsia="宋体" w:cs="宋体"/>
                <w:color w:val="262626"/>
                <w:sz w:val="22"/>
              </w:rPr>
            </w:pPr>
            <w:r>
              <w:rPr>
                <w:rFonts w:hint="eastAsia" w:ascii="宋体" w:eastAsia="宋体" w:cs="宋体"/>
                <w:color w:val="262626"/>
                <w:sz w:val="22"/>
                <w:szCs w:val="22"/>
              </w:rPr>
              <w:t>拐点坐标</w:t>
            </w:r>
          </w:p>
        </w:tc>
        <w:tc>
          <w:tcPr>
            <w:tcW w:w="1120" w:type="dxa"/>
            <w:vAlign w:val="center"/>
          </w:tcPr>
          <w:p w14:paraId="6A1C621E">
            <w:pPr>
              <w:spacing w:line="360" w:lineRule="exact"/>
              <w:jc w:val="center"/>
              <w:rPr>
                <w:rFonts w:ascii="宋体" w:eastAsia="宋体" w:cs="宋体"/>
                <w:color w:val="262626"/>
                <w:sz w:val="22"/>
              </w:rPr>
            </w:pPr>
            <w:r>
              <w:rPr>
                <w:rFonts w:hint="eastAsia" w:ascii="宋体" w:eastAsia="宋体" w:cs="宋体"/>
                <w:color w:val="262626"/>
                <w:sz w:val="22"/>
                <w:szCs w:val="22"/>
              </w:rPr>
              <w:t>资源储量</w:t>
            </w:r>
          </w:p>
        </w:tc>
        <w:tc>
          <w:tcPr>
            <w:tcW w:w="1134" w:type="dxa"/>
            <w:vAlign w:val="center"/>
          </w:tcPr>
          <w:p w14:paraId="1375C02F">
            <w:pPr>
              <w:spacing w:line="360" w:lineRule="exact"/>
              <w:jc w:val="center"/>
              <w:rPr>
                <w:rFonts w:ascii="宋体" w:eastAsia="宋体" w:cs="宋体"/>
                <w:color w:val="262626"/>
                <w:sz w:val="22"/>
              </w:rPr>
            </w:pPr>
            <w:r>
              <w:rPr>
                <w:rFonts w:hint="eastAsia" w:ascii="宋体" w:eastAsia="宋体" w:cs="宋体"/>
                <w:color w:val="262626"/>
                <w:sz w:val="22"/>
                <w:szCs w:val="22"/>
              </w:rPr>
              <w:t>矿区面积</w:t>
            </w:r>
          </w:p>
          <w:p w14:paraId="3B73B772">
            <w:pPr>
              <w:spacing w:line="360" w:lineRule="exact"/>
              <w:jc w:val="center"/>
              <w:rPr>
                <w:rFonts w:ascii="宋体" w:eastAsia="宋体" w:cs="宋体"/>
                <w:color w:val="262626"/>
                <w:sz w:val="22"/>
              </w:rPr>
            </w:pPr>
            <w:r>
              <w:rPr>
                <w:rFonts w:hint="eastAsia" w:ascii="宋体" w:eastAsia="宋体" w:cs="宋体"/>
                <w:color w:val="262626"/>
                <w:sz w:val="22"/>
                <w:szCs w:val="22"/>
              </w:rPr>
              <w:t>(平方公里)</w:t>
            </w:r>
          </w:p>
        </w:tc>
        <w:tc>
          <w:tcPr>
            <w:tcW w:w="1160" w:type="dxa"/>
            <w:vAlign w:val="center"/>
          </w:tcPr>
          <w:p w14:paraId="2E462C4E">
            <w:pPr>
              <w:spacing w:line="360" w:lineRule="exact"/>
              <w:jc w:val="center"/>
              <w:rPr>
                <w:rFonts w:ascii="宋体" w:eastAsia="宋体" w:cs="宋体"/>
                <w:color w:val="262626"/>
                <w:sz w:val="22"/>
              </w:rPr>
            </w:pPr>
            <w:r>
              <w:rPr>
                <w:rFonts w:hint="eastAsia" w:ascii="宋体" w:eastAsia="宋体" w:cs="宋体"/>
                <w:color w:val="262626"/>
                <w:sz w:val="22"/>
                <w:szCs w:val="22"/>
              </w:rPr>
              <w:t>开采</w:t>
            </w:r>
          </w:p>
          <w:p w14:paraId="6C58DDFD">
            <w:pPr>
              <w:spacing w:line="360" w:lineRule="exact"/>
              <w:jc w:val="center"/>
              <w:rPr>
                <w:rFonts w:ascii="宋体" w:eastAsia="宋体" w:cs="宋体"/>
                <w:color w:val="262626"/>
                <w:sz w:val="22"/>
              </w:rPr>
            </w:pPr>
            <w:r>
              <w:rPr>
                <w:rFonts w:hint="eastAsia" w:ascii="宋体" w:eastAsia="宋体" w:cs="宋体"/>
                <w:color w:val="262626"/>
                <w:sz w:val="22"/>
                <w:szCs w:val="22"/>
              </w:rPr>
              <w:t>标高</w:t>
            </w:r>
          </w:p>
        </w:tc>
        <w:tc>
          <w:tcPr>
            <w:tcW w:w="1108" w:type="dxa"/>
            <w:vAlign w:val="center"/>
          </w:tcPr>
          <w:p w14:paraId="63F425BB">
            <w:pPr>
              <w:spacing w:line="360" w:lineRule="exact"/>
              <w:jc w:val="center"/>
              <w:rPr>
                <w:rFonts w:ascii="宋体" w:eastAsia="宋体" w:cs="宋体"/>
                <w:color w:val="262626"/>
                <w:sz w:val="22"/>
              </w:rPr>
            </w:pPr>
            <w:r>
              <w:rPr>
                <w:rFonts w:hint="eastAsia" w:ascii="宋体" w:eastAsia="宋体" w:cs="宋体"/>
                <w:color w:val="262626"/>
                <w:sz w:val="22"/>
                <w:szCs w:val="22"/>
              </w:rPr>
              <w:t>拟建设生产规模</w:t>
            </w:r>
          </w:p>
        </w:tc>
        <w:tc>
          <w:tcPr>
            <w:tcW w:w="850" w:type="dxa"/>
            <w:vAlign w:val="center"/>
          </w:tcPr>
          <w:p w14:paraId="2ED9132B">
            <w:pPr>
              <w:spacing w:line="360" w:lineRule="exact"/>
              <w:jc w:val="center"/>
              <w:rPr>
                <w:rFonts w:ascii="宋体" w:eastAsia="宋体" w:cs="宋体"/>
                <w:color w:val="262626"/>
                <w:sz w:val="22"/>
              </w:rPr>
            </w:pPr>
            <w:r>
              <w:rPr>
                <w:rFonts w:hint="eastAsia" w:ascii="宋体" w:eastAsia="宋体" w:cs="宋体"/>
                <w:color w:val="262626"/>
                <w:sz w:val="22"/>
                <w:szCs w:val="22"/>
              </w:rPr>
              <w:t>出让年限(年)</w:t>
            </w:r>
          </w:p>
        </w:tc>
        <w:tc>
          <w:tcPr>
            <w:tcW w:w="1088" w:type="dxa"/>
            <w:vAlign w:val="center"/>
          </w:tcPr>
          <w:p w14:paraId="130A735F">
            <w:pPr>
              <w:spacing w:line="360" w:lineRule="exact"/>
              <w:jc w:val="center"/>
              <w:rPr>
                <w:rFonts w:ascii="宋体" w:eastAsia="宋体" w:cs="宋体"/>
                <w:color w:val="262626"/>
                <w:sz w:val="22"/>
              </w:rPr>
            </w:pPr>
            <w:r>
              <w:rPr>
                <w:rFonts w:hint="eastAsia" w:ascii="宋体" w:eastAsia="宋体" w:cs="宋体"/>
                <w:color w:val="262626"/>
                <w:sz w:val="22"/>
                <w:szCs w:val="22"/>
              </w:rPr>
              <w:t>出让收益起始价</w:t>
            </w:r>
          </w:p>
          <w:p w14:paraId="039FD803">
            <w:pPr>
              <w:spacing w:line="360" w:lineRule="exact"/>
              <w:jc w:val="center"/>
              <w:rPr>
                <w:rFonts w:ascii="宋体" w:eastAsia="宋体" w:cs="宋体"/>
                <w:color w:val="262626"/>
                <w:sz w:val="22"/>
              </w:rPr>
            </w:pPr>
            <w:r>
              <w:rPr>
                <w:rFonts w:hint="eastAsia" w:ascii="宋体" w:eastAsia="宋体" w:cs="宋体"/>
                <w:color w:val="262626"/>
                <w:sz w:val="22"/>
                <w:szCs w:val="22"/>
              </w:rPr>
              <w:t>（万元）</w:t>
            </w:r>
          </w:p>
        </w:tc>
        <w:tc>
          <w:tcPr>
            <w:tcW w:w="1038" w:type="dxa"/>
            <w:vAlign w:val="center"/>
          </w:tcPr>
          <w:p w14:paraId="4F59332F">
            <w:pPr>
              <w:spacing w:line="360" w:lineRule="exact"/>
              <w:jc w:val="center"/>
              <w:rPr>
                <w:rFonts w:ascii="宋体" w:eastAsia="宋体" w:cs="宋体"/>
                <w:color w:val="262626"/>
                <w:sz w:val="22"/>
              </w:rPr>
            </w:pPr>
            <w:r>
              <w:rPr>
                <w:rFonts w:hint="eastAsia" w:ascii="宋体" w:eastAsia="宋体" w:cs="宋体"/>
                <w:color w:val="262626"/>
                <w:sz w:val="22"/>
                <w:szCs w:val="22"/>
              </w:rPr>
              <w:t>保证金金额</w:t>
            </w:r>
          </w:p>
          <w:p w14:paraId="4BA0FC4E">
            <w:pPr>
              <w:spacing w:line="360" w:lineRule="exact"/>
              <w:jc w:val="center"/>
              <w:rPr>
                <w:rFonts w:ascii="宋体" w:eastAsia="宋体" w:cs="宋体"/>
                <w:color w:val="262626"/>
                <w:sz w:val="22"/>
              </w:rPr>
            </w:pPr>
            <w:r>
              <w:rPr>
                <w:rFonts w:hint="eastAsia" w:ascii="宋体" w:eastAsia="宋体" w:cs="宋体"/>
                <w:color w:val="262626"/>
                <w:sz w:val="22"/>
                <w:szCs w:val="22"/>
              </w:rPr>
              <w:t>(万元)</w:t>
            </w:r>
          </w:p>
        </w:tc>
      </w:tr>
      <w:tr w14:paraId="3B514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84" w:type="dxa"/>
            <w:vAlign w:val="center"/>
          </w:tcPr>
          <w:p w14:paraId="4B222E78">
            <w:pPr>
              <w:spacing w:line="340" w:lineRule="exact"/>
              <w:jc w:val="center"/>
              <w:rPr>
                <w:rFonts w:ascii="宋体" w:eastAsia="宋体" w:cs="宋体"/>
                <w:bCs/>
                <w:color w:val="262626"/>
                <w:sz w:val="22"/>
              </w:rPr>
            </w:pPr>
            <w:bookmarkStart w:id="0" w:name="_Hlk207719427"/>
            <w:bookmarkStart w:id="1" w:name="_Hlk203736675"/>
            <w:r>
              <w:rPr>
                <w:rFonts w:hint="eastAsia" w:ascii="宋体" w:eastAsia="宋体" w:cs="宋体"/>
                <w:bCs/>
                <w:color w:val="262626"/>
                <w:sz w:val="22"/>
                <w:szCs w:val="22"/>
              </w:rPr>
              <w:t>JJGC202503</w:t>
            </w:r>
          </w:p>
        </w:tc>
        <w:tc>
          <w:tcPr>
            <w:tcW w:w="1418" w:type="dxa"/>
            <w:vAlign w:val="center"/>
          </w:tcPr>
          <w:p w14:paraId="1DD90D22">
            <w:pPr>
              <w:spacing w:line="340" w:lineRule="exact"/>
              <w:jc w:val="center"/>
              <w:rPr>
                <w:rFonts w:ascii="宋体" w:eastAsia="宋体" w:cs="宋体"/>
                <w:sz w:val="22"/>
              </w:rPr>
            </w:pPr>
            <w:r>
              <w:rPr>
                <w:rFonts w:hint="eastAsia" w:ascii="宋体" w:eastAsia="宋体" w:cs="宋体"/>
                <w:sz w:val="22"/>
                <w:szCs w:val="22"/>
              </w:rPr>
              <w:t>江津区嘉平镇天水村清水口社建筑用砂岩矿</w:t>
            </w:r>
          </w:p>
        </w:tc>
        <w:tc>
          <w:tcPr>
            <w:tcW w:w="1134" w:type="dxa"/>
            <w:vAlign w:val="center"/>
          </w:tcPr>
          <w:p w14:paraId="505C8000">
            <w:pPr>
              <w:spacing w:line="340" w:lineRule="exact"/>
              <w:jc w:val="center"/>
              <w:rPr>
                <w:rFonts w:ascii="宋体" w:eastAsia="宋体" w:cs="宋体"/>
                <w:sz w:val="22"/>
              </w:rPr>
            </w:pPr>
            <w:r>
              <w:rPr>
                <w:rFonts w:hint="eastAsia" w:ascii="宋体" w:eastAsia="宋体" w:cs="宋体"/>
                <w:sz w:val="22"/>
                <w:szCs w:val="22"/>
              </w:rPr>
              <w:t>江津区嘉平镇天水村清水口村民小组</w:t>
            </w:r>
          </w:p>
        </w:tc>
        <w:tc>
          <w:tcPr>
            <w:tcW w:w="992" w:type="dxa"/>
            <w:vAlign w:val="center"/>
          </w:tcPr>
          <w:p w14:paraId="3BB99E88">
            <w:pPr>
              <w:spacing w:line="340" w:lineRule="exact"/>
              <w:jc w:val="center"/>
              <w:rPr>
                <w:rFonts w:ascii="宋体" w:eastAsia="宋体" w:cs="宋体"/>
                <w:sz w:val="22"/>
              </w:rPr>
            </w:pPr>
            <w:r>
              <w:rPr>
                <w:rFonts w:hint="eastAsia" w:ascii="宋体" w:eastAsia="宋体" w:cs="宋体"/>
                <w:sz w:val="22"/>
                <w:szCs w:val="22"/>
              </w:rPr>
              <w:t>建筑用砂岩</w:t>
            </w:r>
          </w:p>
        </w:tc>
        <w:tc>
          <w:tcPr>
            <w:tcW w:w="1290" w:type="dxa"/>
            <w:vAlign w:val="center"/>
          </w:tcPr>
          <w:p w14:paraId="2DF502D8">
            <w:pPr>
              <w:spacing w:line="340" w:lineRule="exact"/>
              <w:jc w:val="center"/>
              <w:rPr>
                <w:rFonts w:ascii="宋体" w:eastAsia="宋体" w:cs="宋体"/>
                <w:sz w:val="22"/>
              </w:rPr>
            </w:pPr>
            <w:r>
              <w:rPr>
                <w:rFonts w:hint="eastAsia" w:ascii="宋体" w:eastAsia="宋体" w:cs="宋体"/>
                <w:sz w:val="22"/>
                <w:szCs w:val="22"/>
              </w:rPr>
              <w:t>详见《出让文件》</w:t>
            </w:r>
          </w:p>
        </w:tc>
        <w:tc>
          <w:tcPr>
            <w:tcW w:w="1120" w:type="dxa"/>
            <w:vAlign w:val="center"/>
          </w:tcPr>
          <w:p w14:paraId="66B319D2">
            <w:pPr>
              <w:spacing w:line="340" w:lineRule="exact"/>
              <w:jc w:val="center"/>
              <w:rPr>
                <w:rFonts w:ascii="宋体" w:eastAsia="宋体" w:cs="宋体"/>
                <w:sz w:val="22"/>
              </w:rPr>
            </w:pPr>
            <w:r>
              <w:rPr>
                <w:rFonts w:hint="eastAsia" w:ascii="宋体" w:eastAsia="宋体" w:cs="宋体"/>
                <w:sz w:val="22"/>
                <w:szCs w:val="22"/>
              </w:rPr>
              <w:t>852万吨</w:t>
            </w:r>
          </w:p>
        </w:tc>
        <w:tc>
          <w:tcPr>
            <w:tcW w:w="1134" w:type="dxa"/>
            <w:vAlign w:val="center"/>
          </w:tcPr>
          <w:p w14:paraId="7189204A">
            <w:pPr>
              <w:spacing w:line="340" w:lineRule="exact"/>
              <w:jc w:val="center"/>
              <w:rPr>
                <w:rFonts w:ascii="宋体" w:eastAsia="宋体" w:cs="宋体"/>
                <w:sz w:val="22"/>
              </w:rPr>
            </w:pPr>
            <w:r>
              <w:rPr>
                <w:rFonts w:hint="eastAsia" w:ascii="宋体" w:eastAsia="宋体" w:cs="宋体"/>
                <w:sz w:val="22"/>
                <w:szCs w:val="22"/>
              </w:rPr>
              <w:t>0.1233</w:t>
            </w:r>
          </w:p>
        </w:tc>
        <w:tc>
          <w:tcPr>
            <w:tcW w:w="1160" w:type="dxa"/>
            <w:vAlign w:val="center"/>
          </w:tcPr>
          <w:p w14:paraId="1983DA5C">
            <w:pPr>
              <w:spacing w:line="340" w:lineRule="exact"/>
              <w:jc w:val="center"/>
              <w:rPr>
                <w:rFonts w:ascii="宋体" w:eastAsia="宋体" w:cs="宋体"/>
                <w:sz w:val="22"/>
              </w:rPr>
            </w:pPr>
            <w:r>
              <w:rPr>
                <w:rFonts w:hint="eastAsia" w:ascii="宋体" w:eastAsia="宋体" w:cs="宋体"/>
                <w:sz w:val="22"/>
                <w:szCs w:val="22"/>
              </w:rPr>
              <w:t>+516米至+390米</w:t>
            </w:r>
          </w:p>
        </w:tc>
        <w:tc>
          <w:tcPr>
            <w:tcW w:w="1108" w:type="dxa"/>
            <w:vAlign w:val="center"/>
          </w:tcPr>
          <w:p w14:paraId="07B89A9B">
            <w:pPr>
              <w:spacing w:line="340" w:lineRule="exact"/>
              <w:jc w:val="center"/>
              <w:rPr>
                <w:rFonts w:ascii="宋体" w:eastAsia="宋体" w:cs="宋体"/>
                <w:sz w:val="22"/>
              </w:rPr>
            </w:pPr>
            <w:r>
              <w:rPr>
                <w:rFonts w:hint="eastAsia" w:ascii="宋体" w:eastAsia="宋体" w:cs="宋体"/>
                <w:sz w:val="22"/>
                <w:szCs w:val="22"/>
              </w:rPr>
              <w:t>50万吨/年</w:t>
            </w:r>
          </w:p>
        </w:tc>
        <w:tc>
          <w:tcPr>
            <w:tcW w:w="850" w:type="dxa"/>
            <w:vAlign w:val="center"/>
          </w:tcPr>
          <w:p w14:paraId="551CC45A">
            <w:pPr>
              <w:spacing w:line="340" w:lineRule="exact"/>
              <w:jc w:val="center"/>
              <w:rPr>
                <w:rFonts w:ascii="宋体" w:eastAsia="宋体" w:cs="宋体"/>
                <w:sz w:val="22"/>
              </w:rPr>
            </w:pPr>
            <w:r>
              <w:rPr>
                <w:rFonts w:hint="eastAsia" w:ascii="宋体" w:eastAsia="宋体" w:cs="宋体"/>
                <w:sz w:val="22"/>
                <w:szCs w:val="22"/>
              </w:rPr>
              <w:t>16.2</w:t>
            </w:r>
          </w:p>
        </w:tc>
        <w:tc>
          <w:tcPr>
            <w:tcW w:w="1088" w:type="dxa"/>
            <w:vAlign w:val="center"/>
          </w:tcPr>
          <w:p w14:paraId="18C412E1">
            <w:pPr>
              <w:spacing w:line="340" w:lineRule="exact"/>
              <w:jc w:val="center"/>
              <w:rPr>
                <w:rFonts w:ascii="宋体" w:eastAsia="宋体" w:cs="宋体"/>
                <w:sz w:val="22"/>
              </w:rPr>
            </w:pPr>
            <w:r>
              <w:rPr>
                <w:rFonts w:hint="eastAsia" w:ascii="宋体" w:eastAsia="宋体" w:cs="宋体"/>
                <w:sz w:val="22"/>
                <w:szCs w:val="22"/>
              </w:rPr>
              <w:t>3394.54</w:t>
            </w:r>
          </w:p>
        </w:tc>
        <w:tc>
          <w:tcPr>
            <w:tcW w:w="1038" w:type="dxa"/>
            <w:vAlign w:val="center"/>
          </w:tcPr>
          <w:p w14:paraId="27A9B250">
            <w:pPr>
              <w:spacing w:line="340" w:lineRule="exact"/>
              <w:jc w:val="center"/>
              <w:rPr>
                <w:rFonts w:ascii="宋体" w:eastAsia="宋体" w:cs="宋体"/>
                <w:sz w:val="22"/>
              </w:rPr>
            </w:pPr>
            <w:r>
              <w:rPr>
                <w:rFonts w:hint="eastAsia" w:ascii="宋体" w:eastAsia="宋体" w:cs="宋体"/>
                <w:sz w:val="22"/>
                <w:szCs w:val="22"/>
              </w:rPr>
              <w:t>339.454</w:t>
            </w:r>
          </w:p>
        </w:tc>
      </w:tr>
      <w:bookmarkEnd w:id="0"/>
      <w:bookmarkEnd w:id="1"/>
      <w:tr w14:paraId="4B4F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716" w:type="dxa"/>
            <w:gridSpan w:val="12"/>
            <w:vAlign w:val="center"/>
          </w:tcPr>
          <w:p w14:paraId="5C984210">
            <w:pPr>
              <w:jc w:val="left"/>
              <w:rPr>
                <w:rFonts w:ascii="宋体" w:eastAsia="宋体" w:cs="宋体"/>
                <w:color w:val="262626"/>
                <w:sz w:val="22"/>
                <w:u w:val="single"/>
              </w:rPr>
            </w:pPr>
            <w:r>
              <w:rPr>
                <w:rFonts w:hint="eastAsia" w:ascii="宋体" w:eastAsia="宋体" w:cs="宋体"/>
                <w:color w:val="262626"/>
                <w:sz w:val="22"/>
                <w:szCs w:val="22"/>
              </w:rPr>
              <w:t>备注：</w:t>
            </w:r>
            <w:r>
              <w:rPr>
                <w:rFonts w:hint="eastAsia" w:ascii="宋体" w:eastAsia="宋体" w:cs="宋体"/>
                <w:color w:val="262626"/>
                <w:sz w:val="22"/>
                <w:szCs w:val="22"/>
                <w:u w:val="single"/>
              </w:rPr>
              <w:t xml:space="preserve">  /  </w:t>
            </w:r>
          </w:p>
        </w:tc>
      </w:tr>
    </w:tbl>
    <w:p w14:paraId="4EFF6461">
      <w:pPr>
        <w:spacing w:line="400" w:lineRule="exact"/>
        <w:ind w:firstLine="442" w:firstLineChars="200"/>
        <w:rPr>
          <w:rFonts w:ascii="宋体" w:eastAsia="宋体" w:cs="宋体"/>
          <w:color w:val="262626"/>
          <w:sz w:val="22"/>
          <w:szCs w:val="22"/>
        </w:rPr>
      </w:pPr>
      <w:r>
        <w:rPr>
          <w:rFonts w:hint="eastAsia" w:ascii="宋体" w:eastAsia="宋体" w:cs="宋体"/>
          <w:b/>
          <w:color w:val="262626"/>
          <w:sz w:val="22"/>
          <w:szCs w:val="22"/>
        </w:rPr>
        <w:t>二、出让人：</w:t>
      </w:r>
      <w:r>
        <w:rPr>
          <w:rFonts w:hint="eastAsia" w:ascii="宋体" w:eastAsia="宋体" w:cs="宋体"/>
          <w:color w:val="262626"/>
          <w:sz w:val="22"/>
          <w:szCs w:val="22"/>
        </w:rPr>
        <w:t>重庆市江津区规划和自然资源局，地址：重庆市江津区鼎山街道元帅大道36号，联系人：徐老师，联系电话：023-47696219。</w:t>
      </w:r>
    </w:p>
    <w:p w14:paraId="16B498E6">
      <w:pPr>
        <w:spacing w:line="400" w:lineRule="exact"/>
        <w:ind w:firstLine="442" w:firstLineChars="200"/>
        <w:rPr>
          <w:rFonts w:ascii="宋体" w:eastAsia="宋体" w:cs="宋体"/>
          <w:color w:val="262626"/>
          <w:sz w:val="22"/>
          <w:szCs w:val="22"/>
        </w:rPr>
      </w:pPr>
      <w:r>
        <w:rPr>
          <w:rFonts w:hint="eastAsia" w:ascii="宋体" w:eastAsia="宋体" w:cs="宋体"/>
          <w:b/>
          <w:color w:val="262626"/>
          <w:sz w:val="22"/>
          <w:szCs w:val="22"/>
        </w:rPr>
        <w:t>三、交易平台：</w:t>
      </w:r>
      <w:r>
        <w:rPr>
          <w:rFonts w:hint="eastAsia" w:ascii="宋体" w:eastAsia="宋体" w:cs="宋体"/>
          <w:color w:val="262626"/>
          <w:sz w:val="22"/>
          <w:szCs w:val="22"/>
        </w:rPr>
        <w:t>重庆市公共资源交易中心</w:t>
      </w:r>
      <w:r>
        <w:rPr>
          <w:rFonts w:hint="eastAsia" w:ascii="宋体" w:eastAsia="宋体" w:cs="宋体"/>
          <w:bCs/>
          <w:color w:val="262626"/>
          <w:sz w:val="22"/>
          <w:szCs w:val="22"/>
        </w:rPr>
        <w:t>，</w:t>
      </w:r>
      <w:r>
        <w:rPr>
          <w:rFonts w:hint="eastAsia" w:ascii="宋体" w:eastAsia="宋体" w:cs="宋体"/>
          <w:color w:val="262626"/>
          <w:sz w:val="22"/>
          <w:szCs w:val="22"/>
        </w:rPr>
        <w:t>地址：重庆市江北区永平门街14号8-1，联系人：王老师，联系电话：023-63628117。</w:t>
      </w:r>
    </w:p>
    <w:p w14:paraId="7F44499E">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四、竞买人的资质条件：</w:t>
      </w:r>
    </w:p>
    <w:p w14:paraId="2B18C94F">
      <w:pPr>
        <w:spacing w:line="400" w:lineRule="exact"/>
        <w:ind w:firstLine="440" w:firstLineChars="200"/>
        <w:rPr>
          <w:rFonts w:ascii="宋体" w:eastAsia="宋体" w:cs="宋体"/>
          <w:sz w:val="22"/>
          <w:szCs w:val="22"/>
        </w:rPr>
      </w:pPr>
      <w:r>
        <w:rPr>
          <w:rFonts w:hint="eastAsia" w:ascii="宋体" w:eastAsia="宋体" w:cs="宋体"/>
          <w:sz w:val="22"/>
          <w:szCs w:val="22"/>
        </w:rPr>
        <w:t>（一）竞买申请人须为营利法人；</w:t>
      </w:r>
    </w:p>
    <w:p w14:paraId="46CB2D4A">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（二）竞买申请人属于以下情形之一的不得参与竞买：</w:t>
      </w:r>
    </w:p>
    <w:p w14:paraId="766A006B">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1.在全国矿业权人勘查开采信息管理系统的“矿业权人异常名录”、“矿业权严重失信主体”内的；</w:t>
      </w:r>
    </w:p>
    <w:p w14:paraId="0DA7E346">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2.通过“信用中国”查询，在自然资源部联合惩戒备忘录或重庆市信用惩戒严重失信主体“黑名单”内限制禁止参与矿业权出让的；</w:t>
      </w:r>
    </w:p>
    <w:p w14:paraId="57D31782">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3.被吊销采矿许可证且自吊销之日起未满2年的。</w:t>
      </w:r>
    </w:p>
    <w:p w14:paraId="20282839">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五、出让方式及交易的时间、地点</w:t>
      </w:r>
    </w:p>
    <w:p w14:paraId="6D2EF32B">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出让方式：拍卖</w:t>
      </w:r>
    </w:p>
    <w:p w14:paraId="543DCBB1">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公告时间：2025年10月30日-2025年11月26日</w:t>
      </w:r>
    </w:p>
    <w:p w14:paraId="3F6CF94A">
      <w:pPr>
        <w:spacing w:line="400" w:lineRule="exact"/>
        <w:ind w:firstLine="440" w:firstLineChars="200"/>
        <w:rPr>
          <w:rFonts w:ascii="宋体" w:eastAsia="宋体" w:cs="宋体"/>
          <w:i/>
          <w:color w:val="262626"/>
          <w:sz w:val="22"/>
          <w:szCs w:val="22"/>
        </w:rPr>
      </w:pPr>
      <w:r>
        <w:rPr>
          <w:rFonts w:hint="eastAsia" w:ascii="宋体" w:eastAsia="宋体" w:cs="宋体"/>
          <w:color w:val="262626"/>
          <w:sz w:val="22"/>
          <w:szCs w:val="22"/>
        </w:rPr>
        <w:t>网上拍卖时间：2025年11月27日10时</w:t>
      </w:r>
    </w:p>
    <w:p w14:paraId="3BB3499C">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地点：重庆市公共资源交易中心（网址：https://td.cqggzy.com/）。</w:t>
      </w:r>
    </w:p>
    <w:p w14:paraId="6A8C2867">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六、获取竞买文件的途径和申请报名的起止时间及方式</w:t>
      </w:r>
    </w:p>
    <w:p w14:paraId="74D816F3">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（一）</w:t>
      </w:r>
      <w:r>
        <w:rPr>
          <w:rFonts w:hint="eastAsia" w:ascii="宋体" w:eastAsia="宋体" w:cs="宋体"/>
          <w:b/>
          <w:color w:val="262626"/>
          <w:sz w:val="22"/>
          <w:szCs w:val="22"/>
        </w:rPr>
        <w:t>竞买文件获取：</w:t>
      </w:r>
      <w:r>
        <w:rPr>
          <w:rFonts w:hint="eastAsia" w:ascii="宋体" w:eastAsia="宋体" w:cs="宋体"/>
          <w:color w:val="262626"/>
          <w:sz w:val="22"/>
          <w:szCs w:val="22"/>
        </w:rPr>
        <w:t>申请人在报名期限内登录重庆市公共资源交易中心网站</w:t>
      </w:r>
      <w:r>
        <w:rPr>
          <w:rFonts w:hint="eastAsia" w:ascii="宋体" w:eastAsia="宋体" w:cs="宋体"/>
          <w:i/>
          <w:color w:val="262626"/>
          <w:sz w:val="22"/>
          <w:szCs w:val="22"/>
          <w:u w:val="single"/>
        </w:rPr>
        <w:t>（https://www.cqggzy.com/）</w:t>
      </w:r>
      <w:r>
        <w:rPr>
          <w:rFonts w:hint="eastAsia" w:ascii="宋体" w:eastAsia="宋体" w:cs="宋体"/>
          <w:color w:val="262626"/>
          <w:sz w:val="22"/>
          <w:szCs w:val="22"/>
        </w:rPr>
        <w:t>，进入重庆市国有建设用地使用权和矿业权网上交易系统</w:t>
      </w:r>
      <w:r>
        <w:rPr>
          <w:rFonts w:hint="eastAsia" w:ascii="宋体" w:eastAsia="宋体" w:cs="宋体"/>
          <w:i/>
          <w:color w:val="262626"/>
          <w:sz w:val="22"/>
          <w:szCs w:val="22"/>
          <w:u w:val="single"/>
        </w:rPr>
        <w:t>（网址：https://td.cqggzy.com/）</w:t>
      </w:r>
      <w:r>
        <w:rPr>
          <w:rFonts w:hint="eastAsia" w:ascii="宋体" w:eastAsia="宋体" w:cs="宋体"/>
          <w:color w:val="262626"/>
          <w:sz w:val="22"/>
          <w:szCs w:val="22"/>
        </w:rPr>
        <w:t>，查阅、下载出让资料。</w:t>
      </w:r>
    </w:p>
    <w:p w14:paraId="7F75BA2F">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（二）</w:t>
      </w:r>
      <w:r>
        <w:rPr>
          <w:rFonts w:hint="eastAsia" w:ascii="宋体" w:eastAsia="宋体" w:cs="宋体"/>
          <w:b/>
          <w:color w:val="262626"/>
          <w:sz w:val="22"/>
          <w:szCs w:val="22"/>
        </w:rPr>
        <w:t>网上报名时限：</w:t>
      </w:r>
      <w:r>
        <w:rPr>
          <w:rFonts w:hint="eastAsia" w:ascii="宋体" w:eastAsia="宋体" w:cs="宋体"/>
          <w:color w:val="262626"/>
          <w:sz w:val="22"/>
          <w:szCs w:val="22"/>
        </w:rPr>
        <w:t>2025年10月30日9时-2025年11月26日17时</w:t>
      </w:r>
    </w:p>
    <w:p w14:paraId="6CC3FA42">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（三）</w:t>
      </w:r>
      <w:r>
        <w:rPr>
          <w:rFonts w:hint="eastAsia" w:ascii="宋体" w:eastAsia="宋体" w:cs="宋体"/>
          <w:b/>
          <w:bCs/>
          <w:color w:val="262626"/>
          <w:sz w:val="22"/>
          <w:szCs w:val="22"/>
        </w:rPr>
        <w:t>网上报名方式和程序</w:t>
      </w:r>
      <w:r>
        <w:rPr>
          <w:rFonts w:hint="eastAsia" w:ascii="宋体" w:eastAsia="宋体" w:cs="宋体"/>
          <w:color w:val="262626"/>
          <w:sz w:val="22"/>
          <w:szCs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640BB310">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（四）保证金的交纳详见《出让文件》。</w:t>
      </w:r>
    </w:p>
    <w:p w14:paraId="2F0F9D15">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七、确定竞得人的标准和方法</w:t>
      </w:r>
    </w:p>
    <w:p w14:paraId="0D31596D">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本次拍卖出让未设置底价，采用网上增价报价的方式，按照价高者得原则确定竞得人。拍卖成交后的竞得人按规定即时签订《成交确认书》，成交结果在相关网站公示10个工作日。</w:t>
      </w:r>
    </w:p>
    <w:p w14:paraId="49E60CF3">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八、风险提示</w:t>
      </w:r>
    </w:p>
    <w:p w14:paraId="6E198C96">
      <w:pPr>
        <w:spacing w:line="400" w:lineRule="exact"/>
        <w:ind w:firstLine="440" w:firstLineChars="200"/>
        <w:rPr>
          <w:rFonts w:ascii="宋体" w:eastAsia="宋体" w:cs="宋体"/>
          <w:color w:val="262626"/>
          <w:sz w:val="22"/>
          <w:szCs w:val="22"/>
        </w:rPr>
      </w:pPr>
      <w:r>
        <w:rPr>
          <w:rFonts w:hint="eastAsia" w:ascii="宋体" w:eastAsia="宋体" w:cs="宋体"/>
          <w:color w:val="262626"/>
          <w:kern w:val="0"/>
          <w:sz w:val="22"/>
          <w:szCs w:val="22"/>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拟出让采矿权现状和出让文件已完全认可并自愿承担所有风险。</w:t>
      </w:r>
    </w:p>
    <w:p w14:paraId="670C09AD">
      <w:pPr>
        <w:spacing w:line="400" w:lineRule="exact"/>
        <w:ind w:firstLine="440" w:firstLineChars="200"/>
        <w:rPr>
          <w:rFonts w:ascii="宋体" w:eastAsia="宋体" w:cs="宋体"/>
          <w:color w:val="262626"/>
          <w:sz w:val="22"/>
          <w:szCs w:val="22"/>
        </w:rPr>
      </w:pPr>
      <w:r>
        <w:rPr>
          <w:rFonts w:hint="eastAsia" w:ascii="宋体" w:eastAsia="宋体" w:cs="宋体"/>
          <w:color w:val="262626"/>
          <w:kern w:val="0"/>
          <w:sz w:val="22"/>
          <w:szCs w:val="22"/>
        </w:rPr>
        <w:t>（二）有关该宗采矿权的用地、用水、用电、公路、环保、基础设施等工作，由竞得人自行负责解决并依法完善相关手续。</w:t>
      </w:r>
    </w:p>
    <w:p w14:paraId="1EB71E8F">
      <w:pPr>
        <w:spacing w:line="400" w:lineRule="exact"/>
        <w:ind w:firstLine="440" w:firstLineChars="200"/>
        <w:rPr>
          <w:rFonts w:ascii="宋体" w:eastAsia="宋体" w:cs="宋体"/>
          <w:color w:val="262626"/>
          <w:kern w:val="0"/>
          <w:sz w:val="22"/>
          <w:szCs w:val="22"/>
        </w:rPr>
      </w:pPr>
      <w:r>
        <w:rPr>
          <w:rFonts w:hint="eastAsia" w:ascii="宋体" w:eastAsia="宋体" w:cs="宋体"/>
          <w:color w:val="262626"/>
          <w:kern w:val="0"/>
          <w:sz w:val="22"/>
          <w:szCs w:val="22"/>
        </w:rPr>
        <w:t>（三）若竞得人竞得该宗采矿权后，在办理采矿登记前进行安全、环境评价等认定为不适宜开采的，该宗采矿权按不成交处理。</w:t>
      </w:r>
    </w:p>
    <w:p w14:paraId="11ABE23E">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九、对交易矿业权异议的处理方式</w:t>
      </w:r>
    </w:p>
    <w:p w14:paraId="75506264">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对本次出让的采矿权存有异议的，应在采矿权出让公告期截止前以书面方式向重庆市江津区规划和自然资源局提出</w:t>
      </w:r>
      <w:r>
        <w:rPr>
          <w:rFonts w:hint="eastAsia" w:ascii="宋体" w:eastAsia="宋体" w:cs="宋体"/>
          <w:color w:val="262626"/>
          <w:kern w:val="0"/>
          <w:sz w:val="22"/>
          <w:szCs w:val="22"/>
        </w:rPr>
        <w:t>（</w:t>
      </w:r>
      <w:r>
        <w:rPr>
          <w:rFonts w:hint="eastAsia" w:ascii="宋体" w:eastAsia="宋体" w:cs="宋体"/>
          <w:color w:val="262626"/>
          <w:sz w:val="22"/>
          <w:szCs w:val="22"/>
        </w:rPr>
        <w:t>联系人：徐老师，联系电话：023－47696219</w:t>
      </w:r>
      <w:r>
        <w:rPr>
          <w:rFonts w:hint="eastAsia" w:ascii="宋体" w:eastAsia="宋体" w:cs="宋体"/>
          <w:color w:val="262626"/>
          <w:kern w:val="0"/>
          <w:sz w:val="22"/>
          <w:szCs w:val="22"/>
        </w:rPr>
        <w:t>）</w:t>
      </w:r>
      <w:r>
        <w:rPr>
          <w:rFonts w:hint="eastAsia" w:ascii="宋体" w:eastAsia="宋体" w:cs="宋体"/>
          <w:color w:val="262626"/>
          <w:sz w:val="22"/>
          <w:szCs w:val="22"/>
        </w:rPr>
        <w:t>。根据所提异议的具体情况，按照《矿业权出让交易规则》（自然资规〔2023〕1号）等相关规定进行妥善处置。</w:t>
      </w:r>
    </w:p>
    <w:p w14:paraId="129AE7F9">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十、违约责任、公共资源交易领域失信联合惩戒相关提示</w:t>
      </w:r>
    </w:p>
    <w:p w14:paraId="05A6E989">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39F3ADA2">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（二）有下列情形之一的，视为竞买人、竞得人违约，竞得结果无效，并将其列入失信联合惩戒名单、竞买保证金不予退还，出让方有权不再签订出让合同或解除合同：</w:t>
      </w:r>
    </w:p>
    <w:p w14:paraId="5642EDF2">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1.竞买人之间串通报价，损害国家利益、社会公共利益或者他人合法权益的；</w:t>
      </w:r>
    </w:p>
    <w:p w14:paraId="04A4C791">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2.竞买人弄虚作假，骗取交易资格或竞得的；</w:t>
      </w:r>
    </w:p>
    <w:p w14:paraId="36CC5883">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3.采取行贿或其他不正当手段竞得的；</w:t>
      </w:r>
    </w:p>
    <w:p w14:paraId="15ED71BB">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4.竞得人逾期不签订或者拒绝签订成交确认书的；</w:t>
      </w:r>
    </w:p>
    <w:p w14:paraId="011EC848">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5.竞得人逾期不签订或者拒绝签订出让合同的；</w:t>
      </w:r>
    </w:p>
    <w:p w14:paraId="101A4F07">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6.其他依法应当认定为违约的情形。</w:t>
      </w:r>
    </w:p>
    <w:p w14:paraId="5A647F46">
      <w:pPr>
        <w:spacing w:line="400" w:lineRule="exact"/>
        <w:ind w:firstLine="442" w:firstLineChars="200"/>
        <w:rPr>
          <w:rFonts w:ascii="宋体" w:eastAsia="宋体" w:cs="宋体"/>
          <w:b/>
          <w:color w:val="262626"/>
          <w:sz w:val="22"/>
          <w:szCs w:val="22"/>
        </w:rPr>
      </w:pPr>
      <w:r>
        <w:rPr>
          <w:rFonts w:hint="eastAsia" w:ascii="宋体" w:eastAsia="宋体" w:cs="宋体"/>
          <w:b/>
          <w:color w:val="262626"/>
          <w:sz w:val="22"/>
          <w:szCs w:val="22"/>
        </w:rPr>
        <w:t>十一、其他重要提示</w:t>
      </w:r>
    </w:p>
    <w:p w14:paraId="28D50EDD">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一）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p>
    <w:p w14:paraId="003F5869">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268C4AAC">
      <w:pPr>
        <w:spacing w:line="400" w:lineRule="exact"/>
        <w:ind w:firstLine="440" w:firstLineChars="200"/>
        <w:rPr>
          <w:rFonts w:ascii="宋体" w:eastAsia="宋体" w:cs="宋体"/>
          <w:color w:val="262626"/>
          <w:sz w:val="22"/>
          <w:szCs w:val="22"/>
        </w:rPr>
      </w:pPr>
      <w:r>
        <w:rPr>
          <w:rFonts w:hint="eastAsia" w:ascii="宋体" w:eastAsia="宋体" w:cs="宋体"/>
          <w:color w:val="262626"/>
          <w:sz w:val="22"/>
          <w:szCs w:val="22"/>
        </w:rPr>
        <w:t>（三）拟出让采矿权在开采、生产过程中，如需使用相邻矿业权的道路、设施设备、生产巷道等，竞得人需与相邻矿业权权属人就相关使用事宜进行协商。</w:t>
      </w:r>
    </w:p>
    <w:p w14:paraId="408C478C">
      <w:pPr>
        <w:spacing w:line="400" w:lineRule="exact"/>
        <w:ind w:firstLine="440" w:firstLineChars="200"/>
        <w:rPr>
          <w:rFonts w:ascii="宋体" w:eastAsia="宋体" w:cs="宋体"/>
          <w:sz w:val="22"/>
          <w:szCs w:val="22"/>
        </w:rPr>
      </w:pPr>
      <w:r>
        <w:rPr>
          <w:rFonts w:hint="eastAsia" w:ascii="宋体" w:eastAsia="宋体" w:cs="宋体"/>
          <w:sz w:val="22"/>
          <w:szCs w:val="22"/>
        </w:rPr>
        <w:t>（四）竞买申请人须认真详读出让文件，现场踏勘并详细了解出让范围及周边土地、山权、林权、道路、地下管线、水电供给、废渣占地堆放、地表附着物、社群关系等影响资源开采的外部条件以及土地流转等其他权益补偿情况,并自愿接受现状情况。竞得人需自行办理林地、安全施工、环境保护、水土保持、矿区生态修复方案批复、协议签订等其它手续。（重庆市江津区规划自然资源局联系人：徐老师，联系电话：023-47696219）。</w:t>
      </w:r>
    </w:p>
    <w:p w14:paraId="73EA046B">
      <w:pPr>
        <w:spacing w:line="400" w:lineRule="exact"/>
        <w:ind w:firstLine="440" w:firstLineChars="200"/>
        <w:rPr>
          <w:rFonts w:ascii="宋体" w:eastAsia="宋体" w:cs="宋体"/>
          <w:color w:val="FF0000"/>
          <w:sz w:val="22"/>
          <w:szCs w:val="22"/>
        </w:rPr>
      </w:pPr>
      <w:r>
        <w:rPr>
          <w:rFonts w:hint="eastAsia" w:ascii="宋体" w:eastAsia="宋体" w:cs="宋体"/>
          <w:color w:val="262626"/>
          <w:sz w:val="22"/>
          <w:szCs w:val="22"/>
        </w:rPr>
        <w:t>（五）提交竞买申请即视为竞买人对拟出让采矿权现状、出让文件、采矿权出让合同、政策要求等内容已完全</w:t>
      </w:r>
      <w:r>
        <w:rPr>
          <w:rFonts w:hint="eastAsia" w:ascii="宋体" w:eastAsia="宋体" w:cs="宋体"/>
          <w:sz w:val="22"/>
          <w:szCs w:val="22"/>
        </w:rPr>
        <w:t>认可并自愿承担所有风险。</w:t>
      </w:r>
    </w:p>
    <w:p w14:paraId="634AE108">
      <w:pPr>
        <w:pStyle w:val="2"/>
        <w:spacing w:line="400" w:lineRule="exact"/>
        <w:rPr>
          <w:rFonts w:ascii="宋体" w:cs="宋体"/>
          <w:sz w:val="22"/>
        </w:rPr>
      </w:pPr>
      <w:r>
        <w:rPr>
          <w:rFonts w:hint="eastAsia" w:ascii="宋体" w:cs="宋体"/>
          <w:sz w:val="22"/>
        </w:rPr>
        <w:t>（六）竞得人在签收《成交确认书》之日起5个工作日内需另行支付交易服务费10.98635万元（暂定，以最终成交价测算为准）。收费标准按《重庆市发展和改革委员会关于矿业权和加工贸易废料交易服务收费有关事项的通知》（渝发改收费〔2025〕421号）执行。</w:t>
      </w:r>
    </w:p>
    <w:p w14:paraId="5BC307BF">
      <w:pPr>
        <w:pStyle w:val="3"/>
      </w:pPr>
    </w:p>
    <w:p w14:paraId="1E382C51"/>
    <w:p w14:paraId="0A85761C">
      <w:pPr>
        <w:snapToGrid w:val="0"/>
        <w:spacing w:line="400" w:lineRule="exact"/>
        <w:ind w:right="440"/>
        <w:jc w:val="right"/>
        <w:rPr>
          <w:rFonts w:ascii="宋体" w:eastAsia="宋体" w:cs="宋体"/>
          <w:color w:val="262626"/>
          <w:sz w:val="22"/>
          <w:szCs w:val="22"/>
        </w:rPr>
      </w:pPr>
      <w:r>
        <w:rPr>
          <w:rFonts w:hint="eastAsia" w:ascii="宋体" w:eastAsia="宋体" w:cs="宋体"/>
          <w:color w:val="262626"/>
          <w:sz w:val="22"/>
          <w:szCs w:val="22"/>
        </w:rPr>
        <w:t>重庆市江津区规划和自然资源局</w:t>
      </w:r>
    </w:p>
    <w:p w14:paraId="7DA3CF23">
      <w:pPr>
        <w:widowControl/>
        <w:jc w:val="left"/>
      </w:pPr>
      <w:r>
        <w:rPr>
          <w:rFonts w:hint="eastAsia" w:ascii="宋体" w:eastAsia="宋体" w:cs="宋体"/>
          <w:color w:val="262626"/>
          <w:sz w:val="22"/>
          <w:szCs w:val="22"/>
        </w:rPr>
        <w:t xml:space="preserve">                                                                                                     2025年10月30日</w:t>
      </w:r>
    </w:p>
    <w:sectPr>
      <w:footerReference r:id="rId3" w:type="default"/>
      <w:footerReference r:id="rId4" w:type="even"/>
      <w:pgSz w:w="16838" w:h="11906" w:orient="landscape"/>
      <w:pgMar w:top="1800" w:right="1440" w:bottom="1800" w:left="144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Courier New"/>
    <w:panose1 w:val="00000000000000000000"/>
    <w:charset w:val="00"/>
    <w:family w:val="auto"/>
    <w:pitch w:val="default"/>
    <w:sig w:usb0="00000000" w:usb1="00000000" w:usb2="00000000"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30B60">
    <w:pPr>
      <w:pStyle w:val="5"/>
      <w:framePr w:wrap="around" w:vAnchor="text" w:hAnchor="margin" w:xAlign="outside" w:y="1"/>
      <w:pBdr>
        <w:top w:val="none" w:color="auto" w:sz="0" w:space="0"/>
        <w:left w:val="none" w:color="auto" w:sz="0" w:space="0"/>
        <w:bottom w:val="none" w:color="auto" w:sz="0" w:space="0"/>
        <w:right w:val="none" w:color="auto" w:sz="0" w:space="0"/>
      </w:pBdr>
      <w:rPr>
        <w:sz w:val="28"/>
        <w:szCs w:val="28"/>
      </w:rPr>
    </w:pPr>
    <w:r>
      <w:rPr>
        <w:sz w:val="28"/>
        <w:szCs w:val="28"/>
      </w:rPr>
      <mc:AlternateContent>
        <mc:Choice Requires="wps">
          <w:drawing>
            <wp:anchor distT="0" distB="0" distL="113665" distR="113665" simplePos="0" relativeHeight="251659264" behindDoc="0" locked="0" layoutInCell="1" allowOverlap="1">
              <wp:simplePos x="0" y="0"/>
              <wp:positionH relativeFrom="margin">
                <wp:posOffset>7683500</wp:posOffset>
              </wp:positionH>
              <wp:positionV relativeFrom="paragraph">
                <wp:posOffset>-100965</wp:posOffset>
              </wp:positionV>
              <wp:extent cx="956310" cy="368935"/>
              <wp:effectExtent l="0" t="0" r="0" b="0"/>
              <wp:wrapNone/>
              <wp:docPr id="1" name="文本框 1"/>
              <wp:cNvGraphicFramePr/>
              <a:graphic xmlns:a="http://schemas.openxmlformats.org/drawingml/2006/main">
                <a:graphicData uri="http://schemas.microsoft.com/office/word/2010/wordprocessingShape">
                  <wps:wsp>
                    <wps:cNvSpPr/>
                    <wps:spPr>
                      <a:xfrm>
                        <a:off x="0" y="0"/>
                        <a:ext cx="956310" cy="368935"/>
                      </a:xfrm>
                      <a:prstGeom prst="rect">
                        <a:avLst/>
                      </a:prstGeom>
                      <a:noFill/>
                      <a:ln w="9525" cap="flat" cmpd="sng">
                        <a:noFill/>
                        <a:prstDash val="solid"/>
                        <a:miter/>
                      </a:ln>
                    </wps:spPr>
                    <wps:txbx>
                      <w:txbxContent>
                        <w:p w14:paraId="4ED90FF2">
                          <w:pPr>
                            <w:pStyle w:val="5"/>
                            <w:ind w:right="360" w:firstLine="360"/>
                            <w:jc w:val="right"/>
                            <w:rPr>
                              <w:rFonts w:ascii="宋体" w:eastAsia="宋体"/>
                            </w:rPr>
                          </w:pP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left:605pt;margin-top:-7.95pt;height:29.05pt;width:75.3pt;mso-position-horizontal-relative:margin;z-index:251659264;mso-width-relative:page;mso-height-relative:page;" filled="f" stroked="f" coordsize="21600,21600" o:gfxdata="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&#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0hrSp2wAAAAwBAAAPAAAAAAAAAAEAIAAAACIAAABk&#10;cnMvZG93bnJldi54bWxQSwECFAAUAAAACACHTuJArb1REgMCAAD2AwAADgAAAAAAAAABACAAAAAq&#10;AQAAZHJzL2Uyb0RvYy54bWxQSwUGAAAAAAYABgBZAQAAnwUAAAAA&#10;">
              <v:fill on="f" focussize="0,0"/>
              <v:stroke on="f" joinstyle="miter"/>
              <v:imagedata o:title=""/>
              <o:lock v:ext="edit" aspectratio="f"/>
              <v:textbox inset="0mm,0mm,0mm,0mm">
                <w:txbxContent>
                  <w:p w14:paraId="4ED90FF2">
                    <w:pPr>
                      <w:pStyle w:val="5"/>
                      <w:ind w:right="360" w:firstLine="360"/>
                      <w:jc w:val="right"/>
                      <w:rPr>
                        <w:rFonts w:ascii="宋体" w:eastAsia="宋体"/>
                      </w:rPr>
                    </w:pPr>
                  </w:p>
                </w:txbxContent>
              </v:textbox>
            </v:rect>
          </w:pict>
        </mc:Fallback>
      </mc:AlternateContent>
    </w:r>
    <w:r>
      <w:rPr>
        <w:rStyle w:val="9"/>
        <w:rFonts w:hint="eastAsia"/>
        <w:sz w:val="28"/>
        <w:szCs w:val="28"/>
      </w:rPr>
      <w:t>—</w:t>
    </w:r>
    <w:r>
      <w:rPr>
        <w:rStyle w:val="9"/>
        <w:sz w:val="28"/>
        <w:szCs w:val="28"/>
      </w:rPr>
      <w:t xml:space="preserve"> </w:t>
    </w:r>
    <w:r>
      <w:rPr>
        <w:rStyle w:val="9"/>
        <w:sz w:val="28"/>
        <w:szCs w:val="28"/>
      </w:rPr>
      <w:fldChar w:fldCharType="begin"/>
    </w:r>
    <w:r>
      <w:rPr>
        <w:rStyle w:val="9"/>
        <w:sz w:val="28"/>
        <w:szCs w:val="28"/>
      </w:rPr>
      <w:instrText xml:space="preserve">Page</w:instrText>
    </w:r>
    <w:r>
      <w:rPr>
        <w:rStyle w:val="9"/>
        <w:sz w:val="28"/>
        <w:szCs w:val="28"/>
      </w:rPr>
      <w:fldChar w:fldCharType="separate"/>
    </w:r>
    <w:r>
      <w:rPr>
        <w:rStyle w:val="9"/>
        <w:sz w:val="28"/>
        <w:szCs w:val="28"/>
      </w:rPr>
      <w:t>1</w:t>
    </w:r>
    <w:r>
      <w:rPr>
        <w:rStyle w:val="9"/>
        <w:sz w:val="28"/>
        <w:szCs w:val="28"/>
      </w:rPr>
      <w:fldChar w:fldCharType="end"/>
    </w:r>
    <w:r>
      <w:rPr>
        <w:rStyle w:val="9"/>
        <w:sz w:val="28"/>
        <w:szCs w:val="28"/>
      </w:rPr>
      <w:t xml:space="preserve"> </w:t>
    </w:r>
    <w:r>
      <w:rPr>
        <w:rStyle w:val="9"/>
        <w:rFonts w:hint="eastAsia"/>
        <w:sz w:val="28"/>
        <w:szCs w:val="28"/>
      </w:rPr>
      <w:t>—</w:t>
    </w:r>
  </w:p>
  <w:p w14:paraId="2B7B8BED">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E016C">
    <w:pPr>
      <w:pStyle w:val="5"/>
      <w:framePr w:wrap="around" w:vAnchor="text" w:hAnchor="margin" w:xAlign="outside" w:y="1"/>
      <w:pBdr>
        <w:top w:val="none" w:color="auto" w:sz="0" w:space="0"/>
        <w:left w:val="none" w:color="auto" w:sz="0" w:space="0"/>
        <w:bottom w:val="none" w:color="auto" w:sz="0" w:space="0"/>
        <w:right w:val="none" w:color="auto" w:sz="0" w:space="0"/>
      </w:pBdr>
    </w:pPr>
    <w:r>
      <w:rPr>
        <w:rStyle w:val="9"/>
      </w:rPr>
      <w:fldChar w:fldCharType="begin"/>
    </w:r>
    <w:r>
      <w:rPr>
        <w:rStyle w:val="9"/>
      </w:rPr>
      <w:instrText xml:space="preserve">Page</w:instrText>
    </w:r>
    <w:r>
      <w:rPr>
        <w:rStyle w:val="9"/>
      </w:rPr>
      <w:fldChar w:fldCharType="separate"/>
    </w:r>
    <w:r>
      <w:rPr>
        <w:rStyle w:val="9"/>
      </w:rPr>
      <w:t>1</w:t>
    </w:r>
    <w:r>
      <w:rPr>
        <w:rStyle w:val="9"/>
      </w:rPr>
      <w:fldChar w:fldCharType="end"/>
    </w:r>
  </w:p>
  <w:p w14:paraId="7DEBA8F4">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60"/>
  <w:drawingGridVerticalSpacing w:val="435"/>
  <w:displayHorizontalDrawingGridEvery w:val="0"/>
  <w:displayVerticalDrawingGridEvery w:val="1"/>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5A136D1D"/>
    <w:rsid w:val="5FB21A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方正仿宋" w:cs="Times New Roman"/>
      <w:kern w:val="2"/>
      <w:sz w:val="32"/>
      <w:szCs w:val="21"/>
      <w:lang w:val="en-US" w:eastAsia="zh-CN" w:bidi="ar-SA"/>
    </w:rPr>
  </w:style>
  <w:style w:type="character" w:default="1" w:styleId="8">
    <w:name w:val="Default Paragraph Font"/>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next w:val="3"/>
    <w:qFormat/>
    <w:uiPriority w:val="0"/>
    <w:pPr>
      <w:widowControl w:val="0"/>
      <w:ind w:firstLine="200" w:firstLineChars="200"/>
      <w:jc w:val="both"/>
    </w:pPr>
    <w:rPr>
      <w:rFonts w:ascii="Calibri" w:hAnsi="Calibri" w:eastAsia="宋体" w:cs="Arial"/>
      <w:kern w:val="2"/>
      <w:sz w:val="21"/>
      <w:szCs w:val="22"/>
      <w:lang w:val="en-US" w:eastAsia="zh-CN" w:bidi="ar-SA"/>
    </w:rPr>
  </w:style>
  <w:style w:type="paragraph" w:styleId="3">
    <w:name w:val="Date"/>
    <w:basedOn w:val="1"/>
    <w:next w:val="1"/>
    <w:uiPriority w:val="0"/>
    <w:pPr>
      <w:ind w:left="2500" w:leftChars="2500"/>
    </w:p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P R C</Company>
  <Pages>4</Pages>
  <Words>2590</Words>
  <Characters>2898</Characters>
  <Lines>118</Lines>
  <Paragraphs>80</Paragraphs>
  <TotalTime>51</TotalTime>
  <ScaleCrop>false</ScaleCrop>
  <LinksUpToDate>false</LinksUpToDate>
  <CharactersWithSpaces>3003</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2025-10-22T09:47:00Z</dcterms:created>
  <dc:creator>Windows User</dc:creator>
  <cp:lastModifiedBy>蔡蔡</cp:lastModifiedBy>
  <cp:lastPrinted>2025-10-27T09:10:00Z</cp:lastPrinted>
  <dcterms:modified xsi:type="dcterms:W3CDTF">2025-10-30T08:04:05Z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eyJoZGlkIjoiY2VhYWMyMWIxZTk3ZWY4NmQyZGQyZmEyNzBlYzQyMDciLCJ1c2VySWQiOiIxNjgxNzAyNDQ1In0=</vt:lpwstr>
  </property>
  <property fmtid="{D5CDD505-2E9C-101B-9397-08002B2CF9AE}" pid="3" name="KSOProductBuildVer">
    <vt:lpwstr>2052-12.1.0.23125</vt:lpwstr>
  </property>
  <property fmtid="{D5CDD505-2E9C-101B-9397-08002B2CF9AE}" pid="4" name="ICV">
    <vt:lpwstr>E8CD5B94D3D141A4A724A59BD62619AF_12</vt:lpwstr>
  </property>
</Properties>
</file>